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5803" w14:textId="24FE6100" w:rsidR="00810A16" w:rsidRPr="00A061C4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Zał. nr</w:t>
      </w:r>
      <w:r w:rsidR="00D4500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0F1D0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1.</w:t>
      </w:r>
      <w:r w:rsidR="009301C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4</w:t>
      </w:r>
      <w:r w:rsidR="00A061C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do OPZ</w:t>
      </w:r>
    </w:p>
    <w:p w14:paraId="61548B33" w14:textId="77777777" w:rsidR="00A061C4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5AD38B6" w14:textId="393C8203" w:rsidR="0089631E" w:rsidRPr="00A061C4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8"/>
          <w:szCs w:val="28"/>
          <w:lang w:eastAsia="pl-PL"/>
        </w:rPr>
      </w:pP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Wymagania Zamawiającego dotyczące obsługi </w:t>
      </w:r>
      <w:r w:rsidR="00520D7A"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>geodezyjnej</w:t>
      </w: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: </w:t>
      </w:r>
    </w:p>
    <w:p w14:paraId="1165A537" w14:textId="77777777" w:rsidR="00810A16" w:rsidRPr="00815D71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37FF5A4" w14:textId="5A32B5F0" w:rsidR="0089631E" w:rsidRPr="007B0BE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zadań zleconych, które w swoim zakresie obejmują zakres wznowienia znaków granicznych, Wykonawca wykona prace geodezyjne polegające na wykonaniu przedmiotowych czynności łącznie ze zgłoszeniem prac w Ośrodku Dokumentacji Geodezyjno-Kartograficznym.</w:t>
      </w:r>
    </w:p>
    <w:p w14:paraId="5EFF5311" w14:textId="4DDC14E5" w:rsidR="0089631E" w:rsidRPr="00FD76B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FD76B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FD76B0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FD76B0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FD76B0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kompensatory,</w:t>
      </w:r>
    </w:p>
    <w:p w14:paraId="31431B07" w14:textId="77777777" w:rsidR="00A061C4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A061C4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061C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5538CD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 </w:t>
      </w:r>
      <w:r w:rsidR="00520D7A">
        <w:rPr>
          <w:rFonts w:ascii="Century Gothic" w:eastAsia="Times New Roman" w:hAnsi="Century Gothic" w:cs="Times New Roman"/>
          <w:sz w:val="20"/>
          <w:szCs w:val="20"/>
          <w:lang w:eastAsia="pl-PL"/>
        </w:rPr>
        <w:t>zrealizowaniu</w:t>
      </w: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(o ile występuje)</w:t>
      </w: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7B0BE0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Dla obiektów </w:t>
      </w:r>
      <w:r w:rsidR="19CD85C3" w:rsidRPr="19CD85C3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liniowych</w:t>
      </w: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takich jak: gazociągi, przewody elektroenergetyczne,</w:t>
      </w: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ykonawcy danego przewiertu.</w:t>
      </w:r>
    </w:p>
    <w:p w14:paraId="5548F6D8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bezwykopową</w:t>
      </w:r>
      <w:proofErr w:type="spellEnd"/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48848FC4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19CD85C3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jest 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do podawania w zestawieniu tabelarycznym długość gazociągu w 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lastRenderedPageBreak/>
        <w:t>podziale na obręby, gminy i powiaty w rozróżnieniu na odległości przestrzenne i zredukowane. Długości należy podawać w układzie współrzędnych 2000 w odpowiedniej strefie</w:t>
      </w:r>
      <w:r w:rsidR="00B25D49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(w metrach)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</w:t>
      </w:r>
    </w:p>
    <w:p w14:paraId="1E92A303" w14:textId="6DE79451" w:rsidR="00A061C4" w:rsidRPr="00AA64BC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Każdorazowo na żądanie </w:t>
      </w:r>
      <w:r w:rsidR="00B25D4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601DDE18" w14:textId="77777777" w:rsidR="00A061C4" w:rsidRPr="00AA64BC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w ramach umowy zobligowany jest do umieszczania wszelkich redakcji mapowych na mapach zasadniczych poprzez umieszczanie nowych elementów na mapie bądź skorygowanie przebiegu błędnie naniesionej infrastruktury technicznej (elementów uzbrojenia technicznego i szczegółów sytuacyjnych) w opracowywanym pasie na wszystkich skalach mapowych prowadzonych przez Ośrodek Dokumentacji Geodezyjnej i Kartograficznej, na przykład dotyczy to sytuacji, w której Wykonawca przekaże </w:t>
      </w:r>
      <w:proofErr w:type="spellStart"/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zaklauzulowaną</w:t>
      </w:r>
      <w:proofErr w:type="spellEnd"/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mapę z Ośrodka Dokumentacji Geodezyjnej i Kartograficznej w skali 1:1 000, a w zasobie Ośrodka Dokumentacji Geodezyjnej i Kartograficznej prowadzona jest także mapa w skali 1: 500 lub na odwrót, jeśli przekaże mapę w skali 1: 500, a w Ośrodka Dokumentacji Geodezyjnej i Kartograficznej jest również prowadzona mapa w skali 1:1 000, nawet w sytuacji gdy takiej mapy Wykonawca z różnych względów nie otrzymał z Ośrodkow</w:t>
      </w:r>
      <w:r w:rsidR="000867CA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Dokumentacji Geodezyjnej i Kartograficznej. Potwierdzeniem poprawnie wykonanego zamówienia jest przekazanie </w:t>
      </w:r>
      <w:proofErr w:type="spellStart"/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zaklauzulowanej</w:t>
      </w:r>
      <w:proofErr w:type="spellEnd"/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mapy zasadniczej we wszystkich skalach prowadzonych przez Ośrodek Dokumentacji Geodezyjnej i Kartograficznej.</w:t>
      </w:r>
    </w:p>
    <w:p w14:paraId="47922170" w14:textId="77777777" w:rsidR="00A061C4" w:rsidRPr="00AA64BC" w:rsidRDefault="00282C7B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Z uwagi na prowadzoną Branżową Mapę Numeryczną,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wymagane jest</w:t>
      </w:r>
      <w:r w:rsidR="00960BF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aby jej zawartość w zakresie </w:t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posiadanej </w:t>
      </w:r>
      <w:r w:rsidR="00960BF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infrastruktury </w:t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była zgodna 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zasobem mapowym w Ośrodku Dokumentacji Geodezyjnej </w:t>
      </w:r>
      <w:r w:rsidR="00E61E3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i Kartograficznej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(tj. m. in. z Geodezyjną Ewidencją Sieci Uzbrojenia Terenu)</w:t>
      </w:r>
      <w:r w:rsidR="00E61E3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960BF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 </w:t>
      </w:r>
      <w:r w:rsidR="00E61E3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związku z powyższym</w:t>
      </w:r>
      <w:r w:rsidR="004F2AB5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po zakończeniu zadania</w:t>
      </w:r>
      <w:r w:rsidR="001460F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jeden egzemplarz mapy </w:t>
      </w:r>
      <w:r w:rsidR="00B737F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</w:t>
      </w:r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dostarc</w:t>
      </w:r>
      <w:r w:rsidR="005805C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zyć w </w:t>
      </w:r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wersji </w:t>
      </w:r>
      <w:proofErr w:type="spellStart"/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analogowej-papierowej</w:t>
      </w:r>
      <w:proofErr w:type="spellEnd"/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, po naniesieniu zmian w zasobie geodezyjnym</w:t>
      </w:r>
      <w:r w:rsidR="00EC29FB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we właściwym Ośrodku Dokumentacji Geodezyjnej i Kartograficznej (także kolejowym) jako dowód wprowadzonej treści</w:t>
      </w:r>
      <w:r w:rsidR="001460F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Mapę należy przekazać </w:t>
      </w:r>
      <w:r w:rsidR="003948B6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jako opracowanie </w:t>
      </w:r>
      <w:r w:rsidR="00317AAE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formacie A1 w </w:t>
      </w:r>
      <w:r w:rsidR="003948B6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podziale</w:t>
      </w:r>
      <w:r w:rsidR="00317AAE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sekcyjnym</w:t>
      </w:r>
      <w:r w:rsidR="003948B6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317AAE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 sk</w:t>
      </w:r>
      <w:r w:rsidR="003948B6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317AAE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li 1: 500. </w:t>
      </w:r>
      <w:r w:rsidR="00A408EF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Przedmiotowe opracowanie można przekazać np. w formie mapy do celów opiniodawczych</w:t>
      </w:r>
      <w:r w:rsidR="00317AAE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3DA0100B" w14:textId="77777777" w:rsidR="00A061C4" w:rsidRPr="00AA64BC" w:rsidRDefault="00D4064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wyniku 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zaistniałej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potrzeby wykonawcy robót budowlanych</w:t>
      </w:r>
      <w:r w:rsidR="00A3337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bądź Zamawiającego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geodezyjny po zakończeniu prac w terenie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zobowiązany będzie</w:t>
      </w:r>
      <w:r w:rsidR="00A3337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terminie do 2 tygodni do przekazania geodezyjnej dokumentacji powykonawczej </w:t>
      </w:r>
      <w:r w:rsidR="00A3337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tym: 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mapy powykonawczej 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(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bez 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konieczności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stosownej klauzuli  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z z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asobu 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g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eodezyjnego</w:t>
      </w:r>
      <w:r w:rsidR="007A3E5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)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innych materiałów: np. szkiców pomiarowych,   wykazów współrzędnych, lub oświadczeń</w:t>
      </w:r>
      <w:r w:rsidR="0055688C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. P</w:t>
      </w:r>
      <w:r w:rsidR="00A3337D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rzedmiotowe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materiały, posłużą do uzyskania stosownych dokumentów umożliwiających </w:t>
      </w:r>
      <w:r w:rsidR="00D55C3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m. in. </w:t>
      </w:r>
      <w:r w:rsidR="006A6337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otrzymanie zgodny na użytkownie zrealizowanych obiektów.   </w:t>
      </w:r>
    </w:p>
    <w:p w14:paraId="75F56B59" w14:textId="125FD57C" w:rsidR="00270836" w:rsidRPr="00AA64BC" w:rsidRDefault="00D14DB0" w:rsidP="00270836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>Dla następujących obiektów: stacja gazowa,  tłocznia, punkt pomiarowy, zespół zaporowo-upustowy, węzeł gazowy,</w:t>
      </w:r>
      <w:r w:rsidR="00B25D49"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AA64B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dołączyć dokumentację zdjęciową, która zostanie wykonana dla całego obiektu, nawet w przypadku, gdy zleceniu podlega jedynie jego fragment. </w:t>
      </w:r>
    </w:p>
    <w:p w14:paraId="14258C1E" w14:textId="02468209" w:rsidR="0049454C" w:rsidRDefault="0049454C" w:rsidP="00305C5F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65F74A91" w14:textId="5AF47877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6FBE4B43" w14:textId="725A47F7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0C87CE09" w14:textId="50F7FA1F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544362B5" w14:textId="382EA5BA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7098A097" w14:textId="2A55C0C2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3758561F" w14:textId="3F5655C7" w:rsidR="00C20EA3" w:rsidRPr="0049454C" w:rsidRDefault="00C20EA3" w:rsidP="007B0BE0">
      <w:pPr>
        <w:spacing w:after="0" w:line="240" w:lineRule="auto"/>
        <w:ind w:left="1701"/>
        <w:contextualSpacing/>
        <w:jc w:val="both"/>
        <w:rPr>
          <w:rFonts w:ascii="Century Gothic" w:eastAsia="Times New Roman" w:hAnsi="Century Gothic" w:cs="Times New Roman"/>
          <w:color w:val="9BBB59" w:themeColor="accent3"/>
          <w:sz w:val="20"/>
          <w:szCs w:val="20"/>
          <w:lang w:eastAsia="pl-PL"/>
        </w:rPr>
      </w:pPr>
    </w:p>
    <w:sectPr w:rsidR="00C20EA3" w:rsidRPr="00494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DFE67" w14:textId="77777777" w:rsidR="000870DB" w:rsidRDefault="000870DB" w:rsidP="001868B6">
      <w:pPr>
        <w:spacing w:after="0" w:line="240" w:lineRule="auto"/>
      </w:pPr>
      <w:r>
        <w:separator/>
      </w:r>
    </w:p>
  </w:endnote>
  <w:endnote w:type="continuationSeparator" w:id="0">
    <w:p w14:paraId="7D16C6C3" w14:textId="77777777" w:rsidR="000870DB" w:rsidRDefault="000870DB" w:rsidP="001868B6">
      <w:pPr>
        <w:spacing w:after="0" w:line="240" w:lineRule="auto"/>
      </w:pPr>
      <w:r>
        <w:continuationSeparator/>
      </w:r>
    </w:p>
  </w:endnote>
  <w:endnote w:type="continuationNotice" w:id="1">
    <w:p w14:paraId="7E04AD16" w14:textId="77777777" w:rsidR="000870DB" w:rsidRDefault="00087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A3190" w14:textId="77777777" w:rsidR="000870DB" w:rsidRDefault="000870DB" w:rsidP="001868B6">
      <w:pPr>
        <w:spacing w:after="0" w:line="240" w:lineRule="auto"/>
      </w:pPr>
      <w:r>
        <w:separator/>
      </w:r>
    </w:p>
  </w:footnote>
  <w:footnote w:type="continuationSeparator" w:id="0">
    <w:p w14:paraId="3590FAD6" w14:textId="77777777" w:rsidR="000870DB" w:rsidRDefault="000870DB" w:rsidP="001868B6">
      <w:pPr>
        <w:spacing w:after="0" w:line="240" w:lineRule="auto"/>
      </w:pPr>
      <w:r>
        <w:continuationSeparator/>
      </w:r>
    </w:p>
  </w:footnote>
  <w:footnote w:type="continuationNotice" w:id="1">
    <w:p w14:paraId="431E8A67" w14:textId="77777777" w:rsidR="000870DB" w:rsidRDefault="000870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33AC7"/>
    <w:rsid w:val="00037738"/>
    <w:rsid w:val="000867CA"/>
    <w:rsid w:val="000870DB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225309"/>
    <w:rsid w:val="00226711"/>
    <w:rsid w:val="002609E7"/>
    <w:rsid w:val="00270836"/>
    <w:rsid w:val="00282C7B"/>
    <w:rsid w:val="002D75AD"/>
    <w:rsid w:val="002D7787"/>
    <w:rsid w:val="002F305E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F2AB5"/>
    <w:rsid w:val="00520D7A"/>
    <w:rsid w:val="005538CD"/>
    <w:rsid w:val="0055688C"/>
    <w:rsid w:val="00573549"/>
    <w:rsid w:val="005805CC"/>
    <w:rsid w:val="005D1AA1"/>
    <w:rsid w:val="005D2EF1"/>
    <w:rsid w:val="00651A2A"/>
    <w:rsid w:val="006900E3"/>
    <w:rsid w:val="00691069"/>
    <w:rsid w:val="006A6337"/>
    <w:rsid w:val="006B072E"/>
    <w:rsid w:val="007A3E57"/>
    <w:rsid w:val="007B0BE0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40BC"/>
    <w:rsid w:val="0096528C"/>
    <w:rsid w:val="009868DF"/>
    <w:rsid w:val="00A061C4"/>
    <w:rsid w:val="00A3337D"/>
    <w:rsid w:val="00A37E94"/>
    <w:rsid w:val="00A408EF"/>
    <w:rsid w:val="00A47794"/>
    <w:rsid w:val="00AA4C0C"/>
    <w:rsid w:val="00AA64BC"/>
    <w:rsid w:val="00AA6E8B"/>
    <w:rsid w:val="00AA7E71"/>
    <w:rsid w:val="00AC1080"/>
    <w:rsid w:val="00AC23E0"/>
    <w:rsid w:val="00AF2172"/>
    <w:rsid w:val="00B25D49"/>
    <w:rsid w:val="00B4140A"/>
    <w:rsid w:val="00B57804"/>
    <w:rsid w:val="00B737FC"/>
    <w:rsid w:val="00B86B0B"/>
    <w:rsid w:val="00BE3367"/>
    <w:rsid w:val="00C20EA3"/>
    <w:rsid w:val="00C21F66"/>
    <w:rsid w:val="00C2782E"/>
    <w:rsid w:val="00C57A9D"/>
    <w:rsid w:val="00C70197"/>
    <w:rsid w:val="00D14DB0"/>
    <w:rsid w:val="00D40640"/>
    <w:rsid w:val="00D45004"/>
    <w:rsid w:val="00D45CE4"/>
    <w:rsid w:val="00D55C39"/>
    <w:rsid w:val="00D82F07"/>
    <w:rsid w:val="00DD10D0"/>
    <w:rsid w:val="00DD12B7"/>
    <w:rsid w:val="00DE610B"/>
    <w:rsid w:val="00E21479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Jabłoński Zbigniew</cp:lastModifiedBy>
  <cp:revision>6</cp:revision>
  <dcterms:created xsi:type="dcterms:W3CDTF">2023-08-09T12:51:00Z</dcterms:created>
  <dcterms:modified xsi:type="dcterms:W3CDTF">2025-12-08T11:44:00Z</dcterms:modified>
</cp:coreProperties>
</file>